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619C6">
      <w:pPr>
        <w:spacing w:before="128" w:line="211" w:lineRule="auto"/>
        <w:ind w:left="3150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color w:val="333333"/>
          <w:spacing w:val="-3"/>
          <w:sz w:val="43"/>
          <w:szCs w:val="43"/>
        </w:rPr>
        <w:t>202</w:t>
      </w:r>
      <w:r>
        <w:rPr>
          <w:rFonts w:hint="eastAsia" w:ascii="微软雅黑" w:hAnsi="微软雅黑" w:eastAsia="微软雅黑" w:cs="微软雅黑"/>
          <w:b/>
          <w:bCs/>
          <w:color w:val="333333"/>
          <w:spacing w:val="-3"/>
          <w:sz w:val="43"/>
          <w:szCs w:val="43"/>
          <w:lang w:val="en-US" w:eastAsia="zh-CN"/>
        </w:rPr>
        <w:t>6</w:t>
      </w:r>
      <w:r>
        <w:rPr>
          <w:rFonts w:ascii="微软雅黑" w:hAnsi="微软雅黑" w:eastAsia="微软雅黑" w:cs="微软雅黑"/>
          <w:b/>
          <w:bCs/>
          <w:color w:val="333333"/>
          <w:spacing w:val="-3"/>
          <w:sz w:val="43"/>
          <w:szCs w:val="43"/>
        </w:rPr>
        <w:t xml:space="preserve"> 年度非学历教育办学风险自查表</w:t>
      </w:r>
    </w:p>
    <w:p w14:paraId="0E22E9B2">
      <w:pPr>
        <w:pStyle w:val="2"/>
        <w:spacing w:before="238" w:line="219" w:lineRule="auto"/>
        <w:ind w:left="126"/>
        <w:rPr>
          <w:sz w:val="30"/>
          <w:szCs w:val="30"/>
        </w:rPr>
      </w:pPr>
      <w:r>
        <w:rPr>
          <w:spacing w:val="-3"/>
          <w:sz w:val="30"/>
          <w:szCs w:val="30"/>
        </w:rPr>
        <w:t>单位（盖章</w:t>
      </w:r>
      <w:r>
        <w:rPr>
          <w:spacing w:val="6"/>
          <w:sz w:val="30"/>
          <w:szCs w:val="30"/>
        </w:rPr>
        <w:t>）：</w:t>
      </w:r>
      <w:r>
        <w:rPr>
          <w:sz w:val="30"/>
          <w:szCs w:val="30"/>
        </w:rPr>
        <w:t xml:space="preserve">                           </w:t>
      </w:r>
      <w:r>
        <w:rPr>
          <w:spacing w:val="-3"/>
          <w:sz w:val="30"/>
          <w:szCs w:val="30"/>
        </w:rPr>
        <w:t>非学历教育项目名称：</w:t>
      </w:r>
    </w:p>
    <w:p w14:paraId="2BB9DCB6">
      <w:pPr>
        <w:spacing w:line="106" w:lineRule="exact"/>
      </w:pPr>
    </w:p>
    <w:tbl>
      <w:tblPr>
        <w:tblStyle w:val="5"/>
        <w:tblW w:w="134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5"/>
        <w:gridCol w:w="8186"/>
        <w:gridCol w:w="2501"/>
        <w:gridCol w:w="1446"/>
      </w:tblGrid>
      <w:tr w14:paraId="58690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511" w:type="dxa"/>
            <w:gridSpan w:val="2"/>
            <w:vAlign w:val="top"/>
          </w:tcPr>
          <w:p w14:paraId="5C6179C1">
            <w:pPr>
              <w:spacing w:before="167" w:line="219" w:lineRule="auto"/>
              <w:ind w:left="4163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30"/>
                <w:szCs w:val="30"/>
              </w:rPr>
              <w:t>检查内容</w:t>
            </w:r>
          </w:p>
        </w:tc>
        <w:tc>
          <w:tcPr>
            <w:tcW w:w="2501" w:type="dxa"/>
            <w:vAlign w:val="top"/>
          </w:tcPr>
          <w:p w14:paraId="27BF94F9">
            <w:pPr>
              <w:spacing w:before="167" w:line="219" w:lineRule="auto"/>
              <w:ind w:left="213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30"/>
                <w:szCs w:val="30"/>
              </w:rPr>
              <w:t>是否存在不合规</w:t>
            </w:r>
          </w:p>
        </w:tc>
        <w:tc>
          <w:tcPr>
            <w:tcW w:w="1446" w:type="dxa"/>
            <w:vAlign w:val="top"/>
          </w:tcPr>
          <w:p w14:paraId="2A8D41C2">
            <w:pPr>
              <w:spacing w:before="166" w:line="221" w:lineRule="auto"/>
              <w:ind w:left="435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30"/>
                <w:szCs w:val="30"/>
              </w:rPr>
              <w:t>备注</w:t>
            </w:r>
          </w:p>
        </w:tc>
      </w:tr>
      <w:tr w14:paraId="3B861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25" w:type="dxa"/>
            <w:vMerge w:val="restart"/>
            <w:tcBorders>
              <w:bottom w:val="nil"/>
            </w:tcBorders>
            <w:vAlign w:val="top"/>
          </w:tcPr>
          <w:p w14:paraId="658E4D42">
            <w:pPr>
              <w:pStyle w:val="6"/>
              <w:spacing w:line="248" w:lineRule="auto"/>
            </w:pPr>
          </w:p>
          <w:p w14:paraId="546D6945">
            <w:pPr>
              <w:pStyle w:val="6"/>
              <w:spacing w:line="249" w:lineRule="auto"/>
            </w:pPr>
          </w:p>
          <w:p w14:paraId="72416DA7">
            <w:pPr>
              <w:pStyle w:val="6"/>
              <w:spacing w:line="249" w:lineRule="auto"/>
            </w:pPr>
          </w:p>
          <w:p w14:paraId="2BE66A49">
            <w:pPr>
              <w:pStyle w:val="6"/>
              <w:spacing w:line="249" w:lineRule="auto"/>
            </w:pPr>
          </w:p>
          <w:p w14:paraId="13762E33">
            <w:pPr>
              <w:spacing w:before="65" w:line="290" w:lineRule="auto"/>
              <w:ind w:left="457" w:right="136" w:hanging="3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7"/>
                <w:sz w:val="20"/>
                <w:szCs w:val="20"/>
              </w:rPr>
              <w:t>办学主体不</w:t>
            </w:r>
            <w:r>
              <w:rPr>
                <w:rFonts w:ascii="宋体" w:hAnsi="宋体" w:eastAsia="宋体" w:cs="宋体"/>
                <w:color w:val="333333"/>
                <w:spacing w:val="4"/>
                <w:sz w:val="20"/>
                <w:szCs w:val="20"/>
              </w:rPr>
              <w:t>合规</w:t>
            </w:r>
          </w:p>
        </w:tc>
        <w:tc>
          <w:tcPr>
            <w:tcW w:w="8186" w:type="dxa"/>
            <w:vAlign w:val="top"/>
          </w:tcPr>
          <w:p w14:paraId="7D995FFA">
            <w:pPr>
              <w:spacing w:before="108" w:line="228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校外单位或个人在校内设立培训点招生办学</w:t>
            </w:r>
          </w:p>
        </w:tc>
        <w:tc>
          <w:tcPr>
            <w:tcW w:w="2501" w:type="dxa"/>
            <w:vAlign w:val="top"/>
          </w:tcPr>
          <w:p w14:paraId="032020CF">
            <w:pPr>
              <w:pStyle w:val="6"/>
            </w:pPr>
          </w:p>
        </w:tc>
        <w:tc>
          <w:tcPr>
            <w:tcW w:w="1446" w:type="dxa"/>
            <w:vAlign w:val="top"/>
          </w:tcPr>
          <w:p w14:paraId="60E8191F">
            <w:pPr>
              <w:pStyle w:val="6"/>
            </w:pPr>
          </w:p>
        </w:tc>
      </w:tr>
      <w:tr w14:paraId="7BDD57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325" w:type="dxa"/>
            <w:vMerge w:val="continue"/>
            <w:tcBorders>
              <w:top w:val="nil"/>
              <w:bottom w:val="nil"/>
            </w:tcBorders>
            <w:vAlign w:val="top"/>
          </w:tcPr>
          <w:p w14:paraId="3CF4B6DA">
            <w:pPr>
              <w:pStyle w:val="6"/>
            </w:pPr>
          </w:p>
        </w:tc>
        <w:tc>
          <w:tcPr>
            <w:tcW w:w="8186" w:type="dxa"/>
            <w:vAlign w:val="top"/>
          </w:tcPr>
          <w:p w14:paraId="1C65EFD9">
            <w:pPr>
              <w:spacing w:before="109" w:line="279" w:lineRule="auto"/>
              <w:ind w:left="110" w:right="169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8"/>
                <w:sz w:val="20"/>
                <w:szCs w:val="20"/>
              </w:rPr>
              <w:t>校内非实体性质的单位、职能管理部门、群团组织、教职员工个人（含离退</w:t>
            </w:r>
            <w:r>
              <w:rPr>
                <w:rFonts w:ascii="宋体" w:hAnsi="宋体" w:eastAsia="宋体" w:cs="宋体"/>
                <w:color w:val="333333"/>
                <w:spacing w:val="7"/>
                <w:sz w:val="20"/>
                <w:szCs w:val="20"/>
              </w:rPr>
              <w:t>休教职工）</w:t>
            </w: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在校内举办非学历教育</w:t>
            </w:r>
          </w:p>
        </w:tc>
        <w:tc>
          <w:tcPr>
            <w:tcW w:w="2501" w:type="dxa"/>
            <w:vAlign w:val="top"/>
          </w:tcPr>
          <w:p w14:paraId="4A2FA9F8">
            <w:pPr>
              <w:pStyle w:val="6"/>
            </w:pPr>
          </w:p>
        </w:tc>
        <w:tc>
          <w:tcPr>
            <w:tcW w:w="1446" w:type="dxa"/>
            <w:vAlign w:val="top"/>
          </w:tcPr>
          <w:p w14:paraId="795EDA95">
            <w:pPr>
              <w:pStyle w:val="6"/>
            </w:pPr>
          </w:p>
        </w:tc>
      </w:tr>
      <w:tr w14:paraId="1FA035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325" w:type="dxa"/>
            <w:vMerge w:val="continue"/>
            <w:tcBorders>
              <w:top w:val="nil"/>
              <w:bottom w:val="nil"/>
            </w:tcBorders>
            <w:vAlign w:val="top"/>
          </w:tcPr>
          <w:p w14:paraId="6491BE4D">
            <w:pPr>
              <w:pStyle w:val="6"/>
            </w:pPr>
          </w:p>
        </w:tc>
        <w:tc>
          <w:tcPr>
            <w:tcW w:w="8186" w:type="dxa"/>
            <w:vAlign w:val="top"/>
          </w:tcPr>
          <w:p w14:paraId="71B74480">
            <w:pPr>
              <w:spacing w:before="109" w:line="279" w:lineRule="auto"/>
              <w:ind w:left="133" w:right="116" w:hanging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校内非实体性质的单位、职能管理部门、群团组织、教职员工个人（含离退休教职工）</w:t>
            </w:r>
            <w:r>
              <w:rPr>
                <w:rFonts w:ascii="宋体" w:hAnsi="宋体" w:eastAsia="宋体" w:cs="宋体"/>
                <w:color w:val="333333"/>
                <w:spacing w:val="7"/>
                <w:sz w:val="20"/>
                <w:szCs w:val="20"/>
              </w:rPr>
              <w:t>以学校名义在校外举办非学历教育</w:t>
            </w:r>
          </w:p>
        </w:tc>
        <w:tc>
          <w:tcPr>
            <w:tcW w:w="2501" w:type="dxa"/>
            <w:vAlign w:val="top"/>
          </w:tcPr>
          <w:p w14:paraId="69385FAC">
            <w:pPr>
              <w:pStyle w:val="6"/>
            </w:pPr>
          </w:p>
        </w:tc>
        <w:tc>
          <w:tcPr>
            <w:tcW w:w="1446" w:type="dxa"/>
            <w:vAlign w:val="top"/>
          </w:tcPr>
          <w:p w14:paraId="3B13ACC8">
            <w:pPr>
              <w:pStyle w:val="6"/>
            </w:pPr>
          </w:p>
        </w:tc>
      </w:tr>
      <w:tr w14:paraId="46A2D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325" w:type="dxa"/>
            <w:vMerge w:val="continue"/>
            <w:tcBorders>
              <w:top w:val="nil"/>
            </w:tcBorders>
            <w:vAlign w:val="top"/>
          </w:tcPr>
          <w:p w14:paraId="07D25F9F">
            <w:pPr>
              <w:pStyle w:val="6"/>
            </w:pPr>
          </w:p>
        </w:tc>
        <w:tc>
          <w:tcPr>
            <w:tcW w:w="8186" w:type="dxa"/>
            <w:vAlign w:val="top"/>
          </w:tcPr>
          <w:p w14:paraId="02270506">
            <w:pPr>
              <w:spacing w:before="113" w:line="277" w:lineRule="auto"/>
              <w:ind w:left="113" w:right="105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7"/>
                <w:sz w:val="20"/>
                <w:szCs w:val="20"/>
              </w:rPr>
              <w:t>学校独资、挂靠、参股、合作举办的独立法人单位，以“南昌航空大学</w:t>
            </w:r>
            <w:r>
              <w:rPr>
                <w:rFonts w:ascii="宋体" w:hAnsi="宋体" w:eastAsia="宋体" w:cs="宋体"/>
                <w:color w:val="333333"/>
                <w:spacing w:val="-6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7"/>
                <w:sz w:val="20"/>
                <w:szCs w:val="20"/>
              </w:rPr>
              <w:t>”、“</w:t>
            </w:r>
            <w:r>
              <w:rPr>
                <w:rFonts w:ascii="宋体" w:hAnsi="宋体" w:eastAsia="宋体" w:cs="宋体"/>
                <w:color w:val="333333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7"/>
                <w:sz w:val="20"/>
                <w:szCs w:val="20"/>
              </w:rPr>
              <w:t>昌航</w:t>
            </w:r>
            <w:r>
              <w:rPr>
                <w:rFonts w:ascii="宋体" w:hAnsi="宋体" w:eastAsia="宋体" w:cs="宋体"/>
                <w:color w:val="333333"/>
                <w:spacing w:val="-7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7"/>
                <w:sz w:val="20"/>
                <w:szCs w:val="20"/>
              </w:rPr>
              <w:t>”名</w:t>
            </w: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义或南昌航空大学所属单位名义在校内外举办非学历教育</w:t>
            </w:r>
          </w:p>
        </w:tc>
        <w:tc>
          <w:tcPr>
            <w:tcW w:w="2501" w:type="dxa"/>
            <w:vAlign w:val="top"/>
          </w:tcPr>
          <w:p w14:paraId="2696B5EB">
            <w:pPr>
              <w:pStyle w:val="6"/>
            </w:pPr>
          </w:p>
        </w:tc>
        <w:tc>
          <w:tcPr>
            <w:tcW w:w="1446" w:type="dxa"/>
            <w:vAlign w:val="top"/>
          </w:tcPr>
          <w:p w14:paraId="21C818C7">
            <w:pPr>
              <w:pStyle w:val="6"/>
            </w:pPr>
          </w:p>
        </w:tc>
      </w:tr>
      <w:tr w14:paraId="6BB64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25" w:type="dxa"/>
            <w:vMerge w:val="restart"/>
            <w:tcBorders>
              <w:bottom w:val="nil"/>
            </w:tcBorders>
            <w:vAlign w:val="top"/>
          </w:tcPr>
          <w:p w14:paraId="2EE13AAF">
            <w:pPr>
              <w:spacing w:before="211" w:line="290" w:lineRule="auto"/>
              <w:ind w:left="457" w:right="136" w:hanging="3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7"/>
                <w:sz w:val="20"/>
                <w:szCs w:val="20"/>
              </w:rPr>
              <w:t>招生宣传不</w:t>
            </w:r>
            <w:r>
              <w:rPr>
                <w:rFonts w:ascii="宋体" w:hAnsi="宋体" w:eastAsia="宋体" w:cs="宋体"/>
                <w:color w:val="333333"/>
                <w:spacing w:val="4"/>
                <w:sz w:val="20"/>
                <w:szCs w:val="20"/>
              </w:rPr>
              <w:t>合规</w:t>
            </w:r>
          </w:p>
        </w:tc>
        <w:tc>
          <w:tcPr>
            <w:tcW w:w="8186" w:type="dxa"/>
            <w:vAlign w:val="top"/>
          </w:tcPr>
          <w:p w14:paraId="553774DE">
            <w:pPr>
              <w:spacing w:before="113" w:line="227" w:lineRule="auto"/>
              <w:ind w:right="10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5"/>
                <w:sz w:val="20"/>
                <w:szCs w:val="20"/>
              </w:rPr>
              <w:t>以“研究生</w:t>
            </w:r>
            <w:r>
              <w:rPr>
                <w:rFonts w:ascii="宋体" w:hAnsi="宋体" w:eastAsia="宋体" w:cs="宋体"/>
                <w:color w:val="333333"/>
                <w:spacing w:val="-7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5"/>
                <w:sz w:val="20"/>
                <w:szCs w:val="20"/>
              </w:rPr>
              <w:t>”、“硕士、博士学位</w:t>
            </w:r>
            <w:r>
              <w:rPr>
                <w:rFonts w:ascii="宋体" w:hAnsi="宋体" w:eastAsia="宋体" w:cs="宋体"/>
                <w:color w:val="333333"/>
                <w:spacing w:val="-7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5"/>
                <w:sz w:val="20"/>
                <w:szCs w:val="20"/>
              </w:rPr>
              <w:t>”等名义举</w:t>
            </w:r>
            <w:r>
              <w:rPr>
                <w:rFonts w:ascii="宋体" w:hAnsi="宋体" w:eastAsia="宋体" w:cs="宋体"/>
                <w:color w:val="333333"/>
                <w:spacing w:val="4"/>
                <w:sz w:val="20"/>
                <w:szCs w:val="20"/>
              </w:rPr>
              <w:t>办课程进修班（不包含同等学力申硕项目）</w:t>
            </w:r>
          </w:p>
        </w:tc>
        <w:tc>
          <w:tcPr>
            <w:tcW w:w="2501" w:type="dxa"/>
            <w:vAlign w:val="top"/>
          </w:tcPr>
          <w:p w14:paraId="4FF74127">
            <w:pPr>
              <w:pStyle w:val="6"/>
            </w:pPr>
          </w:p>
        </w:tc>
        <w:tc>
          <w:tcPr>
            <w:tcW w:w="1446" w:type="dxa"/>
            <w:vAlign w:val="top"/>
          </w:tcPr>
          <w:p w14:paraId="6F70C9AD">
            <w:pPr>
              <w:pStyle w:val="6"/>
            </w:pPr>
          </w:p>
        </w:tc>
      </w:tr>
      <w:tr w14:paraId="6EBF3C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25" w:type="dxa"/>
            <w:vMerge w:val="continue"/>
            <w:tcBorders>
              <w:top w:val="nil"/>
            </w:tcBorders>
            <w:vAlign w:val="top"/>
          </w:tcPr>
          <w:p w14:paraId="2F415100">
            <w:pPr>
              <w:pStyle w:val="6"/>
            </w:pPr>
          </w:p>
        </w:tc>
        <w:tc>
          <w:tcPr>
            <w:tcW w:w="8186" w:type="dxa"/>
            <w:vAlign w:val="top"/>
          </w:tcPr>
          <w:p w14:paraId="4ADA7454">
            <w:pPr>
              <w:spacing w:before="114" w:line="227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招生宣传未经审核，存在虚假和误导情况的</w:t>
            </w:r>
          </w:p>
        </w:tc>
        <w:tc>
          <w:tcPr>
            <w:tcW w:w="2501" w:type="dxa"/>
            <w:vAlign w:val="top"/>
          </w:tcPr>
          <w:p w14:paraId="758CE3ED">
            <w:pPr>
              <w:pStyle w:val="6"/>
            </w:pPr>
          </w:p>
        </w:tc>
        <w:tc>
          <w:tcPr>
            <w:tcW w:w="1446" w:type="dxa"/>
            <w:vAlign w:val="top"/>
          </w:tcPr>
          <w:p w14:paraId="7246E5BA">
            <w:pPr>
              <w:pStyle w:val="6"/>
            </w:pPr>
          </w:p>
        </w:tc>
      </w:tr>
      <w:tr w14:paraId="4273F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25" w:type="dxa"/>
            <w:vMerge w:val="restart"/>
            <w:tcBorders>
              <w:bottom w:val="nil"/>
            </w:tcBorders>
            <w:vAlign w:val="top"/>
          </w:tcPr>
          <w:p w14:paraId="0E607DB0">
            <w:pPr>
              <w:pStyle w:val="6"/>
              <w:spacing w:line="328" w:lineRule="auto"/>
            </w:pPr>
          </w:p>
          <w:p w14:paraId="547D05D8">
            <w:pPr>
              <w:pStyle w:val="6"/>
              <w:spacing w:line="329" w:lineRule="auto"/>
            </w:pPr>
          </w:p>
          <w:p w14:paraId="0BCAD8B1">
            <w:pPr>
              <w:spacing w:before="65" w:line="228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6"/>
                <w:sz w:val="20"/>
                <w:szCs w:val="20"/>
              </w:rPr>
              <w:t>经费管理</w:t>
            </w:r>
          </w:p>
          <w:p w14:paraId="48A092B2">
            <w:pPr>
              <w:pStyle w:val="6"/>
              <w:spacing w:line="248" w:lineRule="auto"/>
            </w:pPr>
          </w:p>
          <w:p w14:paraId="1D8D31EE">
            <w:pPr>
              <w:spacing w:before="65" w:line="230" w:lineRule="auto"/>
              <w:ind w:left="2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5"/>
                <w:sz w:val="20"/>
                <w:szCs w:val="20"/>
              </w:rPr>
              <w:t>不合规</w:t>
            </w:r>
          </w:p>
        </w:tc>
        <w:tc>
          <w:tcPr>
            <w:tcW w:w="8186" w:type="dxa"/>
            <w:vAlign w:val="top"/>
          </w:tcPr>
          <w:p w14:paraId="13478AAD">
            <w:pPr>
              <w:spacing w:before="112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8"/>
                <w:sz w:val="20"/>
                <w:szCs w:val="20"/>
              </w:rPr>
              <w:t>收入未纳入学校统一管理</w:t>
            </w:r>
          </w:p>
        </w:tc>
        <w:tc>
          <w:tcPr>
            <w:tcW w:w="2501" w:type="dxa"/>
            <w:vAlign w:val="top"/>
          </w:tcPr>
          <w:p w14:paraId="4B8987B1">
            <w:pPr>
              <w:pStyle w:val="6"/>
            </w:pPr>
          </w:p>
        </w:tc>
        <w:tc>
          <w:tcPr>
            <w:tcW w:w="1446" w:type="dxa"/>
            <w:vAlign w:val="top"/>
          </w:tcPr>
          <w:p w14:paraId="7D894426">
            <w:pPr>
              <w:pStyle w:val="6"/>
            </w:pPr>
          </w:p>
        </w:tc>
      </w:tr>
      <w:tr w14:paraId="7AB757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25" w:type="dxa"/>
            <w:vMerge w:val="continue"/>
            <w:tcBorders>
              <w:top w:val="nil"/>
              <w:bottom w:val="nil"/>
            </w:tcBorders>
            <w:vAlign w:val="top"/>
          </w:tcPr>
          <w:p w14:paraId="442E2BCD">
            <w:pPr>
              <w:pStyle w:val="6"/>
            </w:pPr>
          </w:p>
        </w:tc>
        <w:tc>
          <w:tcPr>
            <w:tcW w:w="8186" w:type="dxa"/>
            <w:vAlign w:val="top"/>
          </w:tcPr>
          <w:p w14:paraId="7FFB8A28">
            <w:pPr>
              <w:spacing w:before="112" w:line="228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未经学校授权许可，实行代收费</w:t>
            </w:r>
          </w:p>
        </w:tc>
        <w:tc>
          <w:tcPr>
            <w:tcW w:w="2501" w:type="dxa"/>
            <w:vAlign w:val="top"/>
          </w:tcPr>
          <w:p w14:paraId="0917B99F">
            <w:pPr>
              <w:pStyle w:val="6"/>
            </w:pPr>
          </w:p>
        </w:tc>
        <w:tc>
          <w:tcPr>
            <w:tcW w:w="1446" w:type="dxa"/>
            <w:vAlign w:val="top"/>
          </w:tcPr>
          <w:p w14:paraId="0849F03E">
            <w:pPr>
              <w:pStyle w:val="6"/>
            </w:pPr>
          </w:p>
        </w:tc>
      </w:tr>
      <w:tr w14:paraId="01CB5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25" w:type="dxa"/>
            <w:vMerge w:val="continue"/>
            <w:tcBorders>
              <w:top w:val="nil"/>
              <w:bottom w:val="nil"/>
            </w:tcBorders>
            <w:vAlign w:val="top"/>
          </w:tcPr>
          <w:p w14:paraId="73CF3F48">
            <w:pPr>
              <w:pStyle w:val="6"/>
            </w:pPr>
          </w:p>
        </w:tc>
        <w:tc>
          <w:tcPr>
            <w:tcW w:w="8186" w:type="dxa"/>
            <w:vAlign w:val="top"/>
          </w:tcPr>
          <w:p w14:paraId="330B9635">
            <w:pPr>
              <w:spacing w:before="112" w:line="228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合作方直接向学员收取费用</w:t>
            </w:r>
          </w:p>
        </w:tc>
        <w:tc>
          <w:tcPr>
            <w:tcW w:w="2501" w:type="dxa"/>
            <w:vAlign w:val="top"/>
          </w:tcPr>
          <w:p w14:paraId="7332008F">
            <w:pPr>
              <w:pStyle w:val="6"/>
            </w:pPr>
          </w:p>
        </w:tc>
        <w:tc>
          <w:tcPr>
            <w:tcW w:w="1446" w:type="dxa"/>
            <w:vAlign w:val="top"/>
          </w:tcPr>
          <w:p w14:paraId="35E78E36">
            <w:pPr>
              <w:pStyle w:val="6"/>
            </w:pPr>
          </w:p>
        </w:tc>
      </w:tr>
      <w:tr w14:paraId="74B1D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25" w:type="dxa"/>
            <w:vMerge w:val="continue"/>
            <w:tcBorders>
              <w:top w:val="nil"/>
              <w:bottom w:val="nil"/>
            </w:tcBorders>
            <w:vAlign w:val="top"/>
          </w:tcPr>
          <w:p w14:paraId="4588C5D0">
            <w:pPr>
              <w:pStyle w:val="6"/>
            </w:pPr>
          </w:p>
        </w:tc>
        <w:tc>
          <w:tcPr>
            <w:tcW w:w="8186" w:type="dxa"/>
            <w:vAlign w:val="top"/>
          </w:tcPr>
          <w:p w14:paraId="2449D99B">
            <w:pPr>
              <w:spacing w:before="113" w:line="228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经费支出未执行学校有关经费支出管理规定</w:t>
            </w:r>
          </w:p>
        </w:tc>
        <w:tc>
          <w:tcPr>
            <w:tcW w:w="2501" w:type="dxa"/>
            <w:vAlign w:val="top"/>
          </w:tcPr>
          <w:p w14:paraId="490A6713">
            <w:pPr>
              <w:pStyle w:val="6"/>
            </w:pPr>
          </w:p>
        </w:tc>
        <w:tc>
          <w:tcPr>
            <w:tcW w:w="1446" w:type="dxa"/>
            <w:vAlign w:val="top"/>
          </w:tcPr>
          <w:p w14:paraId="27BBCC6F">
            <w:pPr>
              <w:pStyle w:val="6"/>
            </w:pPr>
          </w:p>
        </w:tc>
      </w:tr>
      <w:tr w14:paraId="33E2D3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25" w:type="dxa"/>
            <w:vMerge w:val="continue"/>
            <w:tcBorders>
              <w:top w:val="nil"/>
            </w:tcBorders>
            <w:vAlign w:val="top"/>
          </w:tcPr>
          <w:p w14:paraId="027FEA1A">
            <w:pPr>
              <w:pStyle w:val="6"/>
            </w:pPr>
          </w:p>
        </w:tc>
        <w:tc>
          <w:tcPr>
            <w:tcW w:w="8186" w:type="dxa"/>
            <w:vAlign w:val="top"/>
          </w:tcPr>
          <w:p w14:paraId="64A9FE2D">
            <w:pPr>
              <w:spacing w:before="113" w:line="227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应纳入政府采购范围的，未执行政府采购相关规定</w:t>
            </w:r>
          </w:p>
        </w:tc>
        <w:tc>
          <w:tcPr>
            <w:tcW w:w="2501" w:type="dxa"/>
            <w:vAlign w:val="top"/>
          </w:tcPr>
          <w:p w14:paraId="42001E2D">
            <w:pPr>
              <w:pStyle w:val="6"/>
            </w:pPr>
          </w:p>
        </w:tc>
        <w:tc>
          <w:tcPr>
            <w:tcW w:w="1446" w:type="dxa"/>
            <w:vAlign w:val="top"/>
          </w:tcPr>
          <w:p w14:paraId="7B1FF8B0">
            <w:pPr>
              <w:pStyle w:val="6"/>
            </w:pPr>
          </w:p>
        </w:tc>
      </w:tr>
      <w:tr w14:paraId="2DB1E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25" w:type="dxa"/>
            <w:vMerge w:val="restart"/>
            <w:tcBorders>
              <w:bottom w:val="nil"/>
            </w:tcBorders>
            <w:vAlign w:val="top"/>
          </w:tcPr>
          <w:p w14:paraId="5D9D7014">
            <w:pPr>
              <w:pStyle w:val="6"/>
              <w:spacing w:line="265" w:lineRule="auto"/>
            </w:pPr>
          </w:p>
          <w:p w14:paraId="287A406B">
            <w:pPr>
              <w:pStyle w:val="6"/>
              <w:spacing w:line="266" w:lineRule="auto"/>
            </w:pPr>
          </w:p>
          <w:p w14:paraId="1C08E843">
            <w:pPr>
              <w:spacing w:before="65" w:line="228" w:lineRule="auto"/>
              <w:ind w:left="4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4"/>
                <w:sz w:val="20"/>
                <w:szCs w:val="20"/>
              </w:rPr>
              <w:t>其他</w:t>
            </w:r>
          </w:p>
        </w:tc>
        <w:tc>
          <w:tcPr>
            <w:tcW w:w="8186" w:type="dxa"/>
            <w:vAlign w:val="top"/>
          </w:tcPr>
          <w:p w14:paraId="2BF0E5D1">
            <w:pPr>
              <w:spacing w:before="114" w:line="228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未经消防验收或消防验收不合格</w:t>
            </w:r>
          </w:p>
        </w:tc>
        <w:tc>
          <w:tcPr>
            <w:tcW w:w="2501" w:type="dxa"/>
            <w:vAlign w:val="top"/>
          </w:tcPr>
          <w:p w14:paraId="68800D29">
            <w:pPr>
              <w:pStyle w:val="6"/>
            </w:pPr>
          </w:p>
        </w:tc>
        <w:tc>
          <w:tcPr>
            <w:tcW w:w="1446" w:type="dxa"/>
            <w:vAlign w:val="top"/>
          </w:tcPr>
          <w:p w14:paraId="600C1893">
            <w:pPr>
              <w:pStyle w:val="6"/>
            </w:pPr>
          </w:p>
        </w:tc>
      </w:tr>
      <w:tr w14:paraId="46F02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25" w:type="dxa"/>
            <w:vMerge w:val="continue"/>
            <w:tcBorders>
              <w:top w:val="nil"/>
              <w:bottom w:val="nil"/>
            </w:tcBorders>
            <w:vAlign w:val="top"/>
          </w:tcPr>
          <w:p w14:paraId="69B62AA6">
            <w:pPr>
              <w:pStyle w:val="6"/>
            </w:pPr>
          </w:p>
        </w:tc>
        <w:tc>
          <w:tcPr>
            <w:tcW w:w="8186" w:type="dxa"/>
            <w:vAlign w:val="top"/>
          </w:tcPr>
          <w:p w14:paraId="783E8354">
            <w:pPr>
              <w:spacing w:before="112" w:line="228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未取得相关非学历教育培训资质</w:t>
            </w:r>
          </w:p>
        </w:tc>
        <w:tc>
          <w:tcPr>
            <w:tcW w:w="2501" w:type="dxa"/>
            <w:vAlign w:val="top"/>
          </w:tcPr>
          <w:p w14:paraId="72F1786B">
            <w:pPr>
              <w:pStyle w:val="6"/>
            </w:pPr>
          </w:p>
        </w:tc>
        <w:tc>
          <w:tcPr>
            <w:tcW w:w="1446" w:type="dxa"/>
            <w:vAlign w:val="top"/>
          </w:tcPr>
          <w:p w14:paraId="34009588">
            <w:pPr>
              <w:pStyle w:val="6"/>
            </w:pPr>
          </w:p>
        </w:tc>
      </w:tr>
      <w:tr w14:paraId="74AB4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325" w:type="dxa"/>
            <w:vMerge w:val="continue"/>
            <w:tcBorders>
              <w:top w:val="nil"/>
            </w:tcBorders>
            <w:vAlign w:val="top"/>
          </w:tcPr>
          <w:p w14:paraId="461C4EA2">
            <w:pPr>
              <w:pStyle w:val="6"/>
            </w:pPr>
          </w:p>
        </w:tc>
        <w:tc>
          <w:tcPr>
            <w:tcW w:w="8186" w:type="dxa"/>
            <w:vAlign w:val="top"/>
          </w:tcPr>
          <w:p w14:paraId="455029D6">
            <w:pPr>
              <w:spacing w:before="112" w:line="228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33333"/>
                <w:spacing w:val="9"/>
                <w:sz w:val="20"/>
                <w:szCs w:val="20"/>
              </w:rPr>
              <w:t>未向学校申报审批擅自组织非学历教育培训</w:t>
            </w:r>
          </w:p>
        </w:tc>
        <w:tc>
          <w:tcPr>
            <w:tcW w:w="2501" w:type="dxa"/>
            <w:vAlign w:val="top"/>
          </w:tcPr>
          <w:p w14:paraId="3C944F73">
            <w:pPr>
              <w:pStyle w:val="6"/>
            </w:pPr>
          </w:p>
        </w:tc>
        <w:tc>
          <w:tcPr>
            <w:tcW w:w="1446" w:type="dxa"/>
            <w:vAlign w:val="top"/>
          </w:tcPr>
          <w:p w14:paraId="6E494992">
            <w:pPr>
              <w:pStyle w:val="6"/>
            </w:pPr>
          </w:p>
        </w:tc>
      </w:tr>
    </w:tbl>
    <w:p w14:paraId="41A77E7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1A3418"/>
    <w:rsid w:val="3D1A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2026-09-15T01:40:00Z</dcterms:created>
  <dc:creator>杜</dc:creator>
  <cp:lastModifiedBy>杜</cp:lastModifiedBy>
  <dcterms:modified xsi:type="dcterms:W3CDTF">2026-09-15T01:41:09Z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0C5FCB03ADAA4801A02F248217E3AA2A_11</vt:lpwstr>
  </property>
  <property fmtid="{D5CDD505-2E9C-101B-9397-08002B2CF9AE}" pid="4" name="KSOTemplateDocerSaveRecord">
    <vt:lpwstr>eyJoZGlkIjoiZGEyMjFmNDVjZTU1NGQzNjNjMWI1YjQ5N2E3YWVhY2EiLCJ1c2VySWQiOiIyMzg5NDA0MDYifQ==</vt:lpwstr>
  </property>
</Properties>
</file>